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BDA8" w14:textId="03BEC869" w:rsidR="00DC4166" w:rsidRDefault="00000000">
      <w:pPr>
        <w:pBdr>
          <w:top w:val="nil"/>
          <w:left w:val="nil"/>
          <w:bottom w:val="nil"/>
          <w:right w:val="nil"/>
          <w:between w:val="nil"/>
        </w:pBdr>
        <w:tabs>
          <w:tab w:val="right" w:pos="9639"/>
        </w:tabs>
        <w:spacing w:before="0" w:after="0"/>
        <w:rPr>
          <w:rFonts w:ascii="Arial" w:eastAsia="Arial" w:hAnsi="Arial" w:cs="Arial"/>
          <w:b/>
          <w:color w:val="000000"/>
        </w:rPr>
      </w:pPr>
      <w:r>
        <w:rPr>
          <w:rFonts w:ascii="Arial" w:eastAsia="Arial" w:hAnsi="Arial" w:cs="Arial"/>
          <w:b/>
          <w:color w:val="000000"/>
        </w:rPr>
        <w:t>3GPP TSG RAN Meeting #103</w:t>
      </w:r>
      <w:r>
        <w:rPr>
          <w:rFonts w:ascii="Arial" w:eastAsia="Arial" w:hAnsi="Arial" w:cs="Arial"/>
          <w:b/>
          <w:color w:val="000000"/>
        </w:rPr>
        <w:tab/>
      </w:r>
      <w:r w:rsidRPr="00AB7061">
        <w:rPr>
          <w:rFonts w:ascii="Arial" w:eastAsia="Arial" w:hAnsi="Arial" w:cs="Arial"/>
          <w:b/>
          <w:color w:val="000000"/>
        </w:rPr>
        <w:t>RP-</w:t>
      </w:r>
      <w:r w:rsidRPr="00AB7061">
        <w:rPr>
          <w:rFonts w:ascii="Arial" w:eastAsia="Arial" w:hAnsi="Arial" w:cs="Arial"/>
          <w:b/>
        </w:rPr>
        <w:t>24</w:t>
      </w:r>
      <w:r w:rsidR="00AB7061" w:rsidRPr="00AB7061">
        <w:rPr>
          <w:rFonts w:ascii="Arial" w:eastAsia="Arial" w:hAnsi="Arial" w:cs="Arial"/>
          <w:b/>
        </w:rPr>
        <w:t>0648</w:t>
      </w:r>
      <w:r>
        <w:rPr>
          <w:rFonts w:ascii="Arial" w:eastAsia="Arial" w:hAnsi="Arial" w:cs="Arial"/>
          <w:b/>
          <w:color w:val="000000"/>
        </w:rPr>
        <w:br/>
        <w:t xml:space="preserve">Maastricht, Netherlands, March 18-21, </w:t>
      </w:r>
      <w:proofErr w:type="gramStart"/>
      <w:r>
        <w:rPr>
          <w:rFonts w:ascii="Arial" w:eastAsia="Arial" w:hAnsi="Arial" w:cs="Arial"/>
          <w:b/>
          <w:color w:val="000000"/>
        </w:rPr>
        <w:t>2024</w:t>
      </w:r>
      <w:proofErr w:type="gramEnd"/>
    </w:p>
    <w:p w14:paraId="7C18BCFB" w14:textId="77777777" w:rsidR="00DC4166" w:rsidRDefault="00000000">
      <w:pPr>
        <w:tabs>
          <w:tab w:val="left" w:pos="1701"/>
          <w:tab w:val="right" w:pos="9639"/>
        </w:tabs>
        <w:spacing w:before="280" w:after="60" w:line="288" w:lineRule="auto"/>
        <w:rPr>
          <w:rFonts w:ascii="Arial" w:eastAsia="Arial" w:hAnsi="Arial" w:cs="Arial"/>
          <w:b/>
        </w:rPr>
      </w:pPr>
      <w:r>
        <w:rPr>
          <w:rFonts w:ascii="Arial" w:eastAsia="Arial" w:hAnsi="Arial" w:cs="Arial"/>
          <w:b/>
        </w:rPr>
        <w:t>Agenda Item:</w:t>
      </w:r>
      <w:r>
        <w:rPr>
          <w:rFonts w:ascii="Arial" w:eastAsia="Arial" w:hAnsi="Arial" w:cs="Arial"/>
          <w:b/>
        </w:rPr>
        <w:tab/>
        <w:t>9.7.2.7</w:t>
      </w:r>
      <w:r>
        <w:rPr>
          <w:rFonts w:ascii="Arial" w:eastAsia="Arial" w:hAnsi="Arial" w:cs="Arial"/>
          <w:b/>
        </w:rPr>
        <w:br/>
        <w:t xml:space="preserve">Source: </w:t>
      </w:r>
      <w:r>
        <w:rPr>
          <w:rFonts w:ascii="Arial" w:eastAsia="Arial" w:hAnsi="Arial" w:cs="Arial"/>
          <w:b/>
        </w:rPr>
        <w:tab/>
        <w:t>Meta</w:t>
      </w:r>
      <w:r>
        <w:rPr>
          <w:rFonts w:ascii="Arial" w:eastAsia="Arial" w:hAnsi="Arial" w:cs="Arial"/>
          <w:b/>
        </w:rPr>
        <w:br/>
        <w:t xml:space="preserve">Title:  </w:t>
      </w:r>
      <w:r>
        <w:rPr>
          <w:rFonts w:ascii="Arial" w:eastAsia="Arial" w:hAnsi="Arial" w:cs="Arial"/>
          <w:b/>
        </w:rPr>
        <w:tab/>
        <w:t>Views on 2Rx for XR Devices</w:t>
      </w:r>
      <w:r>
        <w:rPr>
          <w:rFonts w:ascii="Arial" w:eastAsia="Arial" w:hAnsi="Arial" w:cs="Arial"/>
          <w:b/>
        </w:rPr>
        <w:br/>
        <w:t>Document for:</w:t>
      </w:r>
      <w:r>
        <w:rPr>
          <w:rFonts w:ascii="Arial" w:eastAsia="Arial" w:hAnsi="Arial" w:cs="Arial"/>
          <w:b/>
        </w:rPr>
        <w:tab/>
        <w:t>Discussion and Decision</w:t>
      </w:r>
    </w:p>
    <w:p w14:paraId="5C16D90D" w14:textId="77777777" w:rsidR="00DC4166" w:rsidRDefault="00000000">
      <w:pPr>
        <w:pStyle w:val="Heading1"/>
        <w:numPr>
          <w:ilvl w:val="0"/>
          <w:numId w:val="2"/>
        </w:numPr>
        <w:pBdr>
          <w:top w:val="single" w:sz="12" w:space="3" w:color="000000"/>
        </w:pBdr>
        <w:spacing w:after="180"/>
        <w:rPr>
          <w:b/>
          <w:sz w:val="30"/>
          <w:szCs w:val="30"/>
        </w:rPr>
      </w:pPr>
      <w:bookmarkStart w:id="0" w:name="_heading=h.1fob9te" w:colFirst="0" w:colLast="0"/>
      <w:bookmarkEnd w:id="0"/>
      <w:r>
        <w:rPr>
          <w:b/>
          <w:sz w:val="30"/>
          <w:szCs w:val="30"/>
        </w:rPr>
        <w:t>Introduction</w:t>
      </w:r>
    </w:p>
    <w:p w14:paraId="7391A8E7" w14:textId="77777777" w:rsidR="00DC4166" w:rsidRDefault="00000000">
      <w:pPr>
        <w:pBdr>
          <w:top w:val="nil"/>
          <w:left w:val="nil"/>
          <w:bottom w:val="nil"/>
          <w:right w:val="nil"/>
          <w:between w:val="nil"/>
        </w:pBdr>
        <w:spacing w:before="75" w:after="75" w:line="256" w:lineRule="auto"/>
        <w:rPr>
          <w:rFonts w:eastAsia="Times New Roman"/>
          <w:color w:val="000000"/>
          <w:sz w:val="28"/>
          <w:szCs w:val="28"/>
        </w:rPr>
      </w:pPr>
      <w:bookmarkStart w:id="1" w:name="_heading=h.3znysh7" w:colFirst="0" w:colLast="0"/>
      <w:bookmarkEnd w:id="1"/>
      <w:r>
        <w:rPr>
          <w:rFonts w:eastAsia="Times New Roman"/>
          <w:color w:val="000000"/>
          <w:sz w:val="22"/>
          <w:szCs w:val="22"/>
        </w:rPr>
        <w:t>At RAN#102 the following way forward was agreed [1].</w:t>
      </w:r>
    </w:p>
    <w:tbl>
      <w:tblPr>
        <w:tblStyle w:val="aff3"/>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DC4166" w14:paraId="3B9C1001" w14:textId="77777777">
        <w:tc>
          <w:tcPr>
            <w:tcW w:w="9350" w:type="dxa"/>
            <w:tcBorders>
              <w:top w:val="single" w:sz="4" w:space="0" w:color="000000"/>
              <w:left w:val="single" w:sz="4" w:space="0" w:color="000000"/>
              <w:bottom w:val="single" w:sz="4" w:space="0" w:color="000000"/>
              <w:right w:val="single" w:sz="4" w:space="0" w:color="000000"/>
            </w:tcBorders>
          </w:tcPr>
          <w:p w14:paraId="36099650" w14:textId="77777777" w:rsidR="00DC4166" w:rsidRDefault="00000000">
            <w:pPr>
              <w:numPr>
                <w:ilvl w:val="0"/>
                <w:numId w:val="6"/>
              </w:numPr>
              <w:spacing w:after="0" w:line="256" w:lineRule="auto"/>
              <w:ind w:left="360"/>
              <w:rPr>
                <w:rFonts w:ascii="Calibri" w:eastAsia="Calibri" w:hAnsi="Calibri" w:cs="Calibri"/>
                <w:sz w:val="22"/>
                <w:szCs w:val="22"/>
              </w:rPr>
            </w:pPr>
            <w:bookmarkStart w:id="2" w:name="_heading=h.gjdgxs" w:colFirst="0" w:colLast="0"/>
            <w:bookmarkEnd w:id="2"/>
            <w:r>
              <w:rPr>
                <w:rFonts w:ascii="Calibri" w:eastAsia="Calibri" w:hAnsi="Calibri" w:cs="Calibri"/>
                <w:b/>
                <w:sz w:val="22"/>
                <w:szCs w:val="22"/>
                <w:u w:val="single"/>
              </w:rPr>
              <w:t>Task RAN2 and RAN3</w:t>
            </w:r>
            <w:r>
              <w:rPr>
                <w:rFonts w:ascii="Calibri" w:eastAsia="Calibri" w:hAnsi="Calibri" w:cs="Calibri"/>
                <w:sz w:val="22"/>
                <w:szCs w:val="22"/>
              </w:rPr>
              <w:t xml:space="preserve"> to develop signaling support for ‘2Rx non-REDCAP XR devices’, send corresponding Release-18 draft CR(s) to RAN#103:</w:t>
            </w:r>
          </w:p>
          <w:p w14:paraId="28D84039" w14:textId="77777777" w:rsidR="00DC4166" w:rsidRDefault="00000000">
            <w:pPr>
              <w:numPr>
                <w:ilvl w:val="0"/>
                <w:numId w:val="7"/>
              </w:numPr>
              <w:spacing w:before="0" w:after="0" w:line="256" w:lineRule="auto"/>
              <w:ind w:left="720"/>
              <w:rPr>
                <w:rFonts w:ascii="Calibri" w:eastAsia="Calibri" w:hAnsi="Calibri" w:cs="Calibri"/>
                <w:sz w:val="22"/>
                <w:szCs w:val="22"/>
              </w:rPr>
            </w:pPr>
            <w:r>
              <w:rPr>
                <w:rFonts w:ascii="Calibri" w:eastAsia="Calibri" w:hAnsi="Calibri" w:cs="Calibri"/>
                <w:sz w:val="22"/>
                <w:szCs w:val="22"/>
              </w:rPr>
              <w:t>A new dedicated UE capability indication per band and setting of corresponding existing UE capability(</w:t>
            </w:r>
            <w:proofErr w:type="spellStart"/>
            <w:r>
              <w:rPr>
                <w:rFonts w:ascii="Calibri" w:eastAsia="Calibri" w:hAnsi="Calibri" w:cs="Calibri"/>
                <w:sz w:val="22"/>
                <w:szCs w:val="22"/>
              </w:rPr>
              <w:t>ies</w:t>
            </w:r>
            <w:proofErr w:type="spellEnd"/>
            <w:r>
              <w:rPr>
                <w:rFonts w:ascii="Calibri" w:eastAsia="Calibri" w:hAnsi="Calibri" w:cs="Calibri"/>
                <w:sz w:val="22"/>
                <w:szCs w:val="22"/>
              </w:rPr>
              <w:t>). [RAN2]</w:t>
            </w:r>
            <w:r>
              <w:rPr>
                <w:rFonts w:ascii="Calibri" w:eastAsia="Calibri" w:hAnsi="Calibri" w:cs="Calibri"/>
                <w:sz w:val="22"/>
                <w:szCs w:val="22"/>
              </w:rPr>
              <w:br/>
            </w:r>
            <w:r>
              <w:rPr>
                <w:rFonts w:ascii="Calibri" w:eastAsia="Calibri" w:hAnsi="Calibri" w:cs="Calibri"/>
                <w:i/>
                <w:sz w:val="22"/>
                <w:szCs w:val="22"/>
              </w:rPr>
              <w:t>Note: no need is foreseen to add an indication to Msg1 or Msg3.</w:t>
            </w:r>
          </w:p>
          <w:p w14:paraId="0B24974A" w14:textId="77777777" w:rsidR="00DC4166" w:rsidRDefault="00000000">
            <w:pPr>
              <w:numPr>
                <w:ilvl w:val="0"/>
                <w:numId w:val="7"/>
              </w:numPr>
              <w:spacing w:before="0" w:after="0" w:line="256" w:lineRule="auto"/>
              <w:ind w:left="720"/>
              <w:rPr>
                <w:rFonts w:ascii="Calibri" w:eastAsia="Calibri" w:hAnsi="Calibri" w:cs="Calibri"/>
                <w:sz w:val="22"/>
                <w:szCs w:val="22"/>
              </w:rPr>
            </w:pPr>
            <w:r>
              <w:rPr>
                <w:rFonts w:ascii="Calibri" w:eastAsia="Calibri" w:hAnsi="Calibri" w:cs="Calibri"/>
                <w:sz w:val="22"/>
                <w:szCs w:val="22"/>
              </w:rPr>
              <w:t xml:space="preserve">Indication in SIB, to be used to re-direct to another frequency layer, or to bar the device altogether. [RAN2] </w:t>
            </w:r>
          </w:p>
          <w:p w14:paraId="15CC976D" w14:textId="77777777" w:rsidR="00DC4166" w:rsidRDefault="00000000">
            <w:pPr>
              <w:numPr>
                <w:ilvl w:val="0"/>
                <w:numId w:val="7"/>
              </w:numPr>
              <w:spacing w:before="0" w:after="0" w:line="256" w:lineRule="auto"/>
              <w:ind w:left="720"/>
              <w:rPr>
                <w:rFonts w:ascii="Calibri" w:eastAsia="Calibri" w:hAnsi="Calibri" w:cs="Calibri"/>
                <w:sz w:val="22"/>
                <w:szCs w:val="22"/>
              </w:rPr>
            </w:pPr>
            <w:r>
              <w:rPr>
                <w:rFonts w:ascii="Calibri" w:eastAsia="Calibri" w:hAnsi="Calibri" w:cs="Calibri"/>
                <w:sz w:val="22"/>
                <w:szCs w:val="22"/>
              </w:rPr>
              <w:t>SPID indication from the Core Network to gNB. [RAN3]</w:t>
            </w:r>
          </w:p>
          <w:p w14:paraId="64D9E425" w14:textId="77777777" w:rsidR="00DC4166" w:rsidRDefault="00000000">
            <w:pPr>
              <w:numPr>
                <w:ilvl w:val="0"/>
                <w:numId w:val="7"/>
              </w:numPr>
              <w:spacing w:before="0" w:after="0" w:line="256" w:lineRule="auto"/>
              <w:ind w:left="720"/>
              <w:rPr>
                <w:rFonts w:ascii="Calibri" w:eastAsia="Calibri" w:hAnsi="Calibri" w:cs="Calibri"/>
                <w:sz w:val="22"/>
                <w:szCs w:val="22"/>
              </w:rPr>
            </w:pPr>
            <w:r>
              <w:rPr>
                <w:rFonts w:ascii="Calibri" w:eastAsia="Calibri" w:hAnsi="Calibri" w:cs="Calibri"/>
                <w:sz w:val="22"/>
                <w:szCs w:val="22"/>
              </w:rPr>
              <w:t xml:space="preserve">N2-NGAP indication for ‘2Rx non-REDCAP XR devices’ from gNB to Core Network to </w:t>
            </w:r>
            <w:proofErr w:type="gramStart"/>
            <w:r>
              <w:rPr>
                <w:rFonts w:ascii="Calibri" w:eastAsia="Calibri" w:hAnsi="Calibri" w:cs="Calibri"/>
                <w:sz w:val="22"/>
                <w:szCs w:val="22"/>
              </w:rPr>
              <w:t>take action</w:t>
            </w:r>
            <w:proofErr w:type="gramEnd"/>
            <w:r>
              <w:rPr>
                <w:rFonts w:ascii="Calibri" w:eastAsia="Calibri" w:hAnsi="Calibri" w:cs="Calibri"/>
                <w:sz w:val="22"/>
                <w:szCs w:val="22"/>
              </w:rPr>
              <w:t xml:space="preserve"> based on operator policy. [RAN3]  </w:t>
            </w:r>
          </w:p>
          <w:p w14:paraId="59BE10AE" w14:textId="77777777" w:rsidR="00DC4166" w:rsidRDefault="00000000">
            <w:pPr>
              <w:numPr>
                <w:ilvl w:val="0"/>
                <w:numId w:val="6"/>
              </w:numPr>
              <w:spacing w:before="0" w:after="0" w:line="256" w:lineRule="auto"/>
              <w:ind w:left="360"/>
              <w:rPr>
                <w:rFonts w:ascii="Calibri" w:eastAsia="Calibri" w:hAnsi="Calibri" w:cs="Calibri"/>
                <w:sz w:val="22"/>
                <w:szCs w:val="22"/>
              </w:rPr>
            </w:pPr>
            <w:r>
              <w:rPr>
                <w:rFonts w:ascii="Calibri" w:eastAsia="Calibri" w:hAnsi="Calibri" w:cs="Calibri"/>
                <w:b/>
                <w:sz w:val="22"/>
                <w:szCs w:val="22"/>
                <w:u w:val="single"/>
              </w:rPr>
              <w:t>Task RAN4</w:t>
            </w:r>
            <w:r>
              <w:rPr>
                <w:rFonts w:ascii="Calibri" w:eastAsia="Calibri" w:hAnsi="Calibri" w:cs="Calibri"/>
                <w:sz w:val="22"/>
                <w:szCs w:val="22"/>
              </w:rPr>
              <w:t xml:space="preserve"> to develop Release-18 draft CR(s) to RAN#103 for ‘2Rx non-REDCAP XR devices’:</w:t>
            </w:r>
          </w:p>
          <w:p w14:paraId="6B92D82C" w14:textId="77777777" w:rsidR="00DC4166" w:rsidRDefault="00000000">
            <w:pPr>
              <w:numPr>
                <w:ilvl w:val="0"/>
                <w:numId w:val="7"/>
              </w:numPr>
              <w:spacing w:before="0" w:after="0" w:line="256" w:lineRule="auto"/>
              <w:ind w:left="720"/>
              <w:rPr>
                <w:rFonts w:ascii="Calibri" w:eastAsia="Calibri" w:hAnsi="Calibri" w:cs="Calibri"/>
                <w:sz w:val="22"/>
                <w:szCs w:val="22"/>
              </w:rPr>
            </w:pPr>
            <w:r>
              <w:rPr>
                <w:rFonts w:ascii="Calibri" w:eastAsia="Calibri" w:hAnsi="Calibri" w:cs="Calibri"/>
                <w:sz w:val="22"/>
                <w:szCs w:val="22"/>
              </w:rPr>
              <w:t>Capture the definition of 2Rx non-REDCAP XR devices in [38.101-1] using the definition from RAN#</w:t>
            </w:r>
            <w:r>
              <w:rPr>
                <w:rFonts w:ascii="Calibri" w:eastAsia="Calibri" w:hAnsi="Calibri" w:cs="Calibri"/>
                <w:color w:val="000000"/>
                <w:sz w:val="22"/>
                <w:szCs w:val="22"/>
              </w:rPr>
              <w:t xml:space="preserve">101 (c.f. </w:t>
            </w:r>
            <w:hyperlink r:id="rId6">
              <w:r>
                <w:rPr>
                  <w:rFonts w:ascii="Calibri" w:eastAsia="Calibri" w:hAnsi="Calibri" w:cs="Calibri"/>
                  <w:color w:val="000000"/>
                  <w:sz w:val="22"/>
                  <w:szCs w:val="22"/>
                  <w:u w:val="single"/>
                </w:rPr>
                <w:t>RP-232657</w:t>
              </w:r>
            </w:hyperlink>
            <w:r>
              <w:rPr>
                <w:rFonts w:ascii="Calibri" w:eastAsia="Calibri" w:hAnsi="Calibri" w:cs="Calibri"/>
                <w:color w:val="000000"/>
                <w:sz w:val="22"/>
                <w:szCs w:val="22"/>
              </w:rPr>
              <w:t>)</w:t>
            </w:r>
          </w:p>
          <w:p w14:paraId="7B7BFE93" w14:textId="77777777" w:rsidR="00DC4166" w:rsidRDefault="00000000">
            <w:pPr>
              <w:numPr>
                <w:ilvl w:val="0"/>
                <w:numId w:val="7"/>
              </w:numPr>
              <w:spacing w:before="0" w:after="0" w:line="256" w:lineRule="auto"/>
              <w:ind w:left="720"/>
              <w:rPr>
                <w:rFonts w:ascii="Calibri" w:eastAsia="Calibri" w:hAnsi="Calibri" w:cs="Calibri"/>
                <w:sz w:val="22"/>
                <w:szCs w:val="22"/>
              </w:rPr>
            </w:pPr>
            <w:r>
              <w:rPr>
                <w:rFonts w:ascii="Calibri" w:eastAsia="Calibri" w:hAnsi="Calibri" w:cs="Calibri"/>
                <w:sz w:val="22"/>
                <w:szCs w:val="22"/>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2B5D7E55" w14:textId="77777777" w:rsidR="00DC4166" w:rsidRDefault="00000000">
            <w:pPr>
              <w:numPr>
                <w:ilvl w:val="0"/>
                <w:numId w:val="6"/>
              </w:numPr>
              <w:spacing w:before="0" w:after="0" w:line="256" w:lineRule="auto"/>
              <w:ind w:left="360"/>
              <w:rPr>
                <w:rFonts w:ascii="Calibri" w:eastAsia="Calibri" w:hAnsi="Calibri" w:cs="Calibri"/>
                <w:sz w:val="22"/>
                <w:szCs w:val="22"/>
              </w:rPr>
            </w:pPr>
            <w:r>
              <w:rPr>
                <w:rFonts w:ascii="Calibri" w:eastAsia="Calibri" w:hAnsi="Calibri" w:cs="Calibri"/>
                <w:b/>
                <w:sz w:val="22"/>
                <w:szCs w:val="22"/>
                <w:u w:val="single"/>
              </w:rPr>
              <w:t>TSG-RAN#103 in March:</w:t>
            </w:r>
            <w:r>
              <w:rPr>
                <w:rFonts w:ascii="Calibri" w:eastAsia="Calibri" w:hAnsi="Calibri" w:cs="Calibri"/>
                <w:sz w:val="22"/>
                <w:szCs w:val="22"/>
              </w:rPr>
              <w:t xml:space="preserve"> </w:t>
            </w:r>
          </w:p>
          <w:p w14:paraId="3CC44CC2" w14:textId="77777777" w:rsidR="00DC4166" w:rsidRDefault="00000000">
            <w:pPr>
              <w:numPr>
                <w:ilvl w:val="0"/>
                <w:numId w:val="1"/>
              </w:numPr>
              <w:spacing w:before="0" w:after="0" w:line="256" w:lineRule="auto"/>
              <w:rPr>
                <w:rFonts w:ascii="Calibri" w:eastAsia="Calibri" w:hAnsi="Calibri" w:cs="Calibri"/>
                <w:sz w:val="22"/>
                <w:szCs w:val="22"/>
              </w:rPr>
            </w:pPr>
            <w:r>
              <w:rPr>
                <w:rFonts w:ascii="Calibri" w:eastAsia="Calibri" w:hAnsi="Calibri" w:cs="Calibri"/>
                <w:sz w:val="22"/>
                <w:szCs w:val="22"/>
              </w:rPr>
              <w:t>Consider approving the draft CRs from RAN2, RAN3 and RAN4 for Release-18</w:t>
            </w:r>
          </w:p>
          <w:p w14:paraId="51C18C10" w14:textId="77777777" w:rsidR="00DC4166" w:rsidRDefault="00000000">
            <w:pPr>
              <w:numPr>
                <w:ilvl w:val="0"/>
                <w:numId w:val="1"/>
              </w:numPr>
              <w:spacing w:before="0" w:after="0" w:line="256" w:lineRule="auto"/>
              <w:rPr>
                <w:rFonts w:ascii="Calibri" w:eastAsia="Calibri" w:hAnsi="Calibri" w:cs="Calibri"/>
                <w:sz w:val="22"/>
                <w:szCs w:val="22"/>
              </w:rPr>
            </w:pPr>
            <w:r>
              <w:rPr>
                <w:rFonts w:ascii="Calibri" w:eastAsia="Calibri" w:hAnsi="Calibri" w:cs="Calibri"/>
                <w:sz w:val="22"/>
                <w:szCs w:val="22"/>
              </w:rPr>
              <w:t xml:space="preserve">Consider approving Release-19 work to be conducted on detailed OTA work for ‘2Rx non-REDCAP XR </w:t>
            </w:r>
            <w:proofErr w:type="gramStart"/>
            <w:r>
              <w:rPr>
                <w:rFonts w:ascii="Calibri" w:eastAsia="Calibri" w:hAnsi="Calibri" w:cs="Calibri"/>
                <w:sz w:val="22"/>
                <w:szCs w:val="22"/>
              </w:rPr>
              <w:t>devices’</w:t>
            </w:r>
            <w:proofErr w:type="gramEnd"/>
            <w:r>
              <w:rPr>
                <w:rFonts w:ascii="Calibri" w:eastAsia="Calibri" w:hAnsi="Calibri" w:cs="Calibri"/>
                <w:sz w:val="22"/>
                <w:szCs w:val="22"/>
              </w:rPr>
              <w:t>.</w:t>
            </w:r>
          </w:p>
          <w:p w14:paraId="092716A3" w14:textId="77777777" w:rsidR="00DC4166" w:rsidRDefault="00000000">
            <w:pPr>
              <w:numPr>
                <w:ilvl w:val="0"/>
                <w:numId w:val="1"/>
              </w:numPr>
              <w:spacing w:before="0" w:after="0" w:line="256" w:lineRule="auto"/>
              <w:rPr>
                <w:rFonts w:ascii="Calibri" w:eastAsia="Calibri" w:hAnsi="Calibri" w:cs="Calibri"/>
                <w:sz w:val="22"/>
                <w:szCs w:val="22"/>
              </w:rPr>
            </w:pPr>
            <w:r>
              <w:rPr>
                <w:rFonts w:ascii="Calibri" w:eastAsia="Calibri" w:hAnsi="Calibri" w:cs="Calibri"/>
                <w:sz w:val="22"/>
                <w:szCs w:val="22"/>
              </w:rPr>
              <w:t xml:space="preserve">Points 1) and 2) represent a package, each one is dependent on the other moving forward.  </w:t>
            </w:r>
          </w:p>
        </w:tc>
      </w:tr>
    </w:tbl>
    <w:p w14:paraId="6D1ED751" w14:textId="77777777" w:rsidR="00DC4166" w:rsidRDefault="00000000">
      <w:pPr>
        <w:rPr>
          <w:sz w:val="22"/>
          <w:szCs w:val="22"/>
        </w:rPr>
      </w:pPr>
      <w:r>
        <w:rPr>
          <w:sz w:val="22"/>
          <w:szCs w:val="22"/>
        </w:rPr>
        <w:t xml:space="preserve">In the following, we discuss RAN2, RAN3, and RAN4 tasks at the February RAN WG meetings. </w:t>
      </w:r>
    </w:p>
    <w:p w14:paraId="53374047" w14:textId="77777777" w:rsidR="00DC4166" w:rsidRDefault="00000000">
      <w:pPr>
        <w:pStyle w:val="Heading1"/>
        <w:numPr>
          <w:ilvl w:val="0"/>
          <w:numId w:val="2"/>
        </w:numPr>
        <w:pBdr>
          <w:top w:val="single" w:sz="12" w:space="3" w:color="000000"/>
        </w:pBdr>
        <w:spacing w:after="180"/>
        <w:rPr>
          <w:b/>
          <w:sz w:val="30"/>
          <w:szCs w:val="30"/>
        </w:rPr>
      </w:pPr>
      <w:r>
        <w:rPr>
          <w:b/>
          <w:sz w:val="30"/>
          <w:szCs w:val="30"/>
        </w:rPr>
        <w:lastRenderedPageBreak/>
        <w:t>RAN2 Tasks</w:t>
      </w:r>
    </w:p>
    <w:p w14:paraId="09A9B565" w14:textId="77777777" w:rsidR="00DC4166" w:rsidRDefault="00000000">
      <w:pPr>
        <w:rPr>
          <w:sz w:val="22"/>
          <w:szCs w:val="22"/>
        </w:rPr>
      </w:pPr>
      <w:r>
        <w:rPr>
          <w:sz w:val="22"/>
          <w:szCs w:val="22"/>
        </w:rPr>
        <w:t>In the way forward [1], RAN2 was tasked to develop signaling to support 2Rx XR devices. At RAN2#125, two sets of CRs are endorsed. The main difference of the two is whether the cell allows 2Rx UEs in bands where 4Rx is mandated, when barring signaling is absent in SIB.</w:t>
      </w:r>
    </w:p>
    <w:p w14:paraId="4EA08FC0" w14:textId="77777777" w:rsidR="00DC4166" w:rsidRDefault="00000000">
      <w:pPr>
        <w:rPr>
          <w:sz w:val="22"/>
          <w:szCs w:val="22"/>
        </w:rPr>
      </w:pPr>
      <w:r>
        <w:rPr>
          <w:sz w:val="22"/>
          <w:szCs w:val="22"/>
        </w:rPr>
        <w:t xml:space="preserve">Whether to allow access by default is one of the aspects that operators hold different views. As discussed in [8], we prefer to disallow access when the barring signal is absent. However, this is a signaling design enhancement that can be further considered and revisited </w:t>
      </w:r>
      <w:proofErr w:type="gramStart"/>
      <w:r>
        <w:rPr>
          <w:sz w:val="22"/>
          <w:szCs w:val="22"/>
        </w:rPr>
        <w:t>at a later time</w:t>
      </w:r>
      <w:proofErr w:type="gramEnd"/>
      <w:r>
        <w:rPr>
          <w:sz w:val="22"/>
          <w:szCs w:val="22"/>
        </w:rPr>
        <w:t xml:space="preserve">. </w:t>
      </w:r>
    </w:p>
    <w:p w14:paraId="00B78B1A" w14:textId="71DF6479" w:rsidR="00DC4166" w:rsidRDefault="00000000">
      <w:pPr>
        <w:rPr>
          <w:b/>
          <w:sz w:val="22"/>
          <w:szCs w:val="22"/>
        </w:rPr>
      </w:pPr>
      <w:r>
        <w:rPr>
          <w:b/>
          <w:sz w:val="22"/>
          <w:szCs w:val="22"/>
        </w:rPr>
        <w:t xml:space="preserve">Proposal 1: </w:t>
      </w:r>
      <w:r>
        <w:rPr>
          <w:sz w:val="22"/>
          <w:szCs w:val="22"/>
        </w:rPr>
        <w:t>Consider approving the set of RAN2 draft CRs</w:t>
      </w:r>
      <w:r w:rsidR="00A12ADF">
        <w:rPr>
          <w:sz w:val="22"/>
          <w:szCs w:val="22"/>
        </w:rPr>
        <w:t xml:space="preserve"> in</w:t>
      </w:r>
      <w:r>
        <w:rPr>
          <w:sz w:val="22"/>
          <w:szCs w:val="22"/>
        </w:rPr>
        <w:t xml:space="preserve"> [2]. </w:t>
      </w:r>
    </w:p>
    <w:p w14:paraId="1C600976" w14:textId="77777777" w:rsidR="00DC4166" w:rsidRDefault="00000000">
      <w:pPr>
        <w:pStyle w:val="Heading1"/>
        <w:numPr>
          <w:ilvl w:val="0"/>
          <w:numId w:val="2"/>
        </w:numPr>
        <w:pBdr>
          <w:top w:val="single" w:sz="12" w:space="3" w:color="000000"/>
        </w:pBdr>
        <w:spacing w:after="180"/>
        <w:rPr>
          <w:b/>
          <w:sz w:val="30"/>
          <w:szCs w:val="30"/>
        </w:rPr>
      </w:pPr>
      <w:r>
        <w:rPr>
          <w:b/>
          <w:sz w:val="30"/>
          <w:szCs w:val="30"/>
        </w:rPr>
        <w:t>RAN3 Tasks</w:t>
      </w:r>
    </w:p>
    <w:p w14:paraId="2B57C35E" w14:textId="77777777" w:rsidR="00DC4166" w:rsidRDefault="00000000">
      <w:pPr>
        <w:rPr>
          <w:b/>
          <w:sz w:val="22"/>
          <w:szCs w:val="22"/>
        </w:rPr>
      </w:pPr>
      <w:r>
        <w:rPr>
          <w:sz w:val="22"/>
          <w:szCs w:val="22"/>
        </w:rPr>
        <w:t xml:space="preserve">RAN3 was tasked to develop signaling for SPID indication from the Core Network to gNB, and N2-NGAP indication from gNB to Core Network to act based on operator policy. In RAN3 #123, a new Reference SPID value for 2Rx XR UE was introduced [4]. A new NGAP indication to Core Network was also introduced [5]. Both CRs are endorsed at RAN3#123. </w:t>
      </w:r>
    </w:p>
    <w:p w14:paraId="60EEC7C6" w14:textId="77777777" w:rsidR="00DC4166" w:rsidRDefault="00000000">
      <w:pPr>
        <w:pStyle w:val="Heading1"/>
        <w:numPr>
          <w:ilvl w:val="0"/>
          <w:numId w:val="2"/>
        </w:numPr>
        <w:pBdr>
          <w:top w:val="single" w:sz="12" w:space="3" w:color="000000"/>
        </w:pBdr>
        <w:spacing w:after="180"/>
        <w:rPr>
          <w:b/>
          <w:sz w:val="30"/>
          <w:szCs w:val="30"/>
        </w:rPr>
      </w:pPr>
      <w:r>
        <w:rPr>
          <w:b/>
          <w:sz w:val="30"/>
          <w:szCs w:val="30"/>
        </w:rPr>
        <w:t xml:space="preserve">RAN4 Tasks </w:t>
      </w:r>
    </w:p>
    <w:p w14:paraId="4372D839" w14:textId="77777777" w:rsidR="00DC4166" w:rsidRDefault="00000000">
      <w:pPr>
        <w:rPr>
          <w:sz w:val="22"/>
          <w:szCs w:val="22"/>
        </w:rPr>
      </w:pPr>
      <w:r>
        <w:rPr>
          <w:sz w:val="22"/>
          <w:szCs w:val="22"/>
        </w:rPr>
        <w:t xml:space="preserve">At RAN4#110, agreements are made in [6] and CR is endorsed in [7]. </w:t>
      </w:r>
    </w:p>
    <w:tbl>
      <w:tblPr>
        <w:tblStyle w:val="aff4"/>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DC4166" w14:paraId="30CF96E0" w14:textId="77777777">
        <w:tc>
          <w:tcPr>
            <w:tcW w:w="9350" w:type="dxa"/>
            <w:tcBorders>
              <w:top w:val="single" w:sz="4" w:space="0" w:color="000000"/>
              <w:left w:val="single" w:sz="4" w:space="0" w:color="000000"/>
              <w:bottom w:val="single" w:sz="4" w:space="0" w:color="000000"/>
              <w:right w:val="single" w:sz="4" w:space="0" w:color="000000"/>
            </w:tcBorders>
          </w:tcPr>
          <w:p w14:paraId="27DDEA69" w14:textId="77777777" w:rsidR="00DC4166" w:rsidRDefault="00000000">
            <w:pPr>
              <w:rPr>
                <w:b/>
                <w:color w:val="000000"/>
                <w:sz w:val="22"/>
                <w:szCs w:val="22"/>
              </w:rPr>
            </w:pPr>
            <w:r>
              <w:rPr>
                <w:b/>
                <w:color w:val="000000"/>
                <w:sz w:val="22"/>
                <w:szCs w:val="22"/>
              </w:rPr>
              <w:t xml:space="preserve">Agreement: </w:t>
            </w:r>
          </w:p>
          <w:p w14:paraId="0776809C" w14:textId="77777777" w:rsidR="00DC4166" w:rsidRDefault="00000000">
            <w:pPr>
              <w:spacing w:before="0" w:after="120"/>
              <w:rPr>
                <w:color w:val="000000"/>
                <w:sz w:val="22"/>
                <w:szCs w:val="22"/>
              </w:rPr>
            </w:pPr>
            <w:r>
              <w:rPr>
                <w:color w:val="000000"/>
                <w:sz w:val="22"/>
                <w:szCs w:val="22"/>
              </w:rPr>
              <w:t>Two Rx antenna port XR UE: A non-(</w:t>
            </w:r>
            <w:proofErr w:type="gramStart"/>
            <w:r>
              <w:rPr>
                <w:color w:val="000000"/>
                <w:sz w:val="22"/>
                <w:szCs w:val="22"/>
              </w:rPr>
              <w:t>e)RedCap</w:t>
            </w:r>
            <w:proofErr w:type="gramEnd"/>
            <w:r>
              <w:rPr>
                <w:color w:val="000000"/>
                <w:sz w:val="22"/>
                <w:szCs w:val="22"/>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68309891" w14:textId="77777777" w:rsidR="00DC4166" w:rsidRDefault="00000000">
            <w:pPr>
              <w:rPr>
                <w:b/>
                <w:color w:val="000000"/>
                <w:sz w:val="22"/>
                <w:szCs w:val="22"/>
              </w:rPr>
            </w:pPr>
            <w:r>
              <w:rPr>
                <w:b/>
                <w:color w:val="000000"/>
                <w:sz w:val="22"/>
                <w:szCs w:val="22"/>
              </w:rPr>
              <w:t xml:space="preserve">Agreement: </w:t>
            </w:r>
          </w:p>
          <w:p w14:paraId="2B59DFD9" w14:textId="77777777" w:rsidR="00DC4166" w:rsidRDefault="00000000">
            <w:pPr>
              <w:spacing w:before="0" w:after="120"/>
              <w:rPr>
                <w:color w:val="000000"/>
                <w:sz w:val="22"/>
                <w:szCs w:val="22"/>
              </w:rPr>
            </w:pPr>
            <w:r>
              <w:rPr>
                <w:color w:val="000000"/>
                <w:sz w:val="22"/>
                <w:szCs w:val="22"/>
              </w:rPr>
              <w:t>XR</w:t>
            </w:r>
            <w:r>
              <w:rPr>
                <w:color w:val="000000"/>
                <w:sz w:val="22"/>
                <w:szCs w:val="22"/>
              </w:rPr>
              <w:tab/>
            </w:r>
            <w:r>
              <w:rPr>
                <w:color w:val="000000"/>
                <w:sz w:val="22"/>
                <w:szCs w:val="22"/>
              </w:rPr>
              <w:tab/>
            </w:r>
            <w:proofErr w:type="spellStart"/>
            <w:r>
              <w:rPr>
                <w:color w:val="000000"/>
                <w:sz w:val="22"/>
                <w:szCs w:val="22"/>
              </w:rPr>
              <w:t>eXtended</w:t>
            </w:r>
            <w:proofErr w:type="spellEnd"/>
            <w:r>
              <w:rPr>
                <w:color w:val="000000"/>
                <w:sz w:val="22"/>
                <w:szCs w:val="22"/>
              </w:rPr>
              <w:t xml:space="preserve"> </w:t>
            </w:r>
            <w:proofErr w:type="gramStart"/>
            <w:r>
              <w:rPr>
                <w:color w:val="000000"/>
                <w:sz w:val="22"/>
                <w:szCs w:val="22"/>
              </w:rPr>
              <w:t>Reality</w:t>
            </w:r>
            <w:proofErr w:type="gramEnd"/>
          </w:p>
          <w:p w14:paraId="31ED5443" w14:textId="77777777" w:rsidR="00DC4166" w:rsidRDefault="00000000">
            <w:pPr>
              <w:rPr>
                <w:b/>
                <w:color w:val="000000"/>
                <w:sz w:val="22"/>
                <w:szCs w:val="22"/>
              </w:rPr>
            </w:pPr>
            <w:r>
              <w:rPr>
                <w:b/>
                <w:color w:val="000000"/>
                <w:sz w:val="22"/>
                <w:szCs w:val="22"/>
              </w:rPr>
              <w:t xml:space="preserve">Agreement: </w:t>
            </w:r>
          </w:p>
          <w:p w14:paraId="78C64C4D" w14:textId="77777777" w:rsidR="00DC4166" w:rsidRDefault="00000000">
            <w:pPr>
              <w:numPr>
                <w:ilvl w:val="0"/>
                <w:numId w:val="3"/>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 xml:space="preserve">On conducted receiver sensitivity, consider two </w:t>
            </w:r>
            <w:proofErr w:type="gramStart"/>
            <w:r>
              <w:rPr>
                <w:rFonts w:eastAsia="Times New Roman"/>
                <w:color w:val="000000"/>
                <w:sz w:val="22"/>
                <w:szCs w:val="22"/>
              </w:rPr>
              <w:t>options</w:t>
            </w:r>
            <w:proofErr w:type="gramEnd"/>
          </w:p>
          <w:p w14:paraId="6A6A2E7D" w14:textId="77777777" w:rsidR="00DC4166" w:rsidRDefault="00000000">
            <w:pPr>
              <w:numPr>
                <w:ilvl w:val="1"/>
                <w:numId w:val="3"/>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0.5dB tightening compared to the existing 2Rx UE conducted REFSENS, which is considered feasible by some UE vendors</w:t>
            </w:r>
          </w:p>
          <w:p w14:paraId="06866FD1" w14:textId="77777777" w:rsidR="00DC4166" w:rsidRDefault="00000000">
            <w:pPr>
              <w:numPr>
                <w:ilvl w:val="1"/>
                <w:numId w:val="3"/>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 xml:space="preserve">2Rx XR UE meets the 4Rx handheld UE conducted </w:t>
            </w:r>
            <w:proofErr w:type="gramStart"/>
            <w:r>
              <w:rPr>
                <w:rFonts w:eastAsia="Times New Roman"/>
                <w:color w:val="000000"/>
                <w:sz w:val="22"/>
                <w:szCs w:val="22"/>
              </w:rPr>
              <w:t>REFSENS</w:t>
            </w:r>
            <w:proofErr w:type="gramEnd"/>
          </w:p>
          <w:p w14:paraId="6E7C68CF" w14:textId="77777777" w:rsidR="00DC4166" w:rsidRDefault="00000000">
            <w:pPr>
              <w:numPr>
                <w:ilvl w:val="0"/>
                <w:numId w:val="3"/>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On OTA performance:</w:t>
            </w:r>
          </w:p>
          <w:p w14:paraId="35CDBCC5" w14:textId="77777777" w:rsidR="00DC4166" w:rsidRDefault="00000000">
            <w:pPr>
              <w:numPr>
                <w:ilvl w:val="1"/>
                <w:numId w:val="3"/>
              </w:numPr>
              <w:pBdr>
                <w:top w:val="nil"/>
                <w:left w:val="nil"/>
                <w:bottom w:val="nil"/>
                <w:right w:val="nil"/>
                <w:between w:val="nil"/>
              </w:pBdr>
              <w:spacing w:before="0" w:after="120"/>
              <w:rPr>
                <w:rFonts w:ascii="Calibri" w:eastAsia="Calibri" w:hAnsi="Calibri" w:cs="Calibri"/>
                <w:color w:val="000000"/>
              </w:rPr>
            </w:pPr>
            <w:r>
              <w:rPr>
                <w:rFonts w:eastAsia="Times New Roman"/>
                <w:color w:val="000000"/>
                <w:sz w:val="22"/>
                <w:szCs w:val="22"/>
              </w:rPr>
              <w:t>It is agreed to specify OTA TRS requirements per band for both 4Rx XR and 2Rx XR for the NR bands which are mandatorily to support 4Rx based on measurement campaign of 4Rx XR, considering the performance degradation value for 2Rx based on 4Rx measurement campaign.</w:t>
            </w:r>
            <w:r>
              <w:rPr>
                <w:rFonts w:ascii="Calibri" w:eastAsia="Calibri" w:hAnsi="Calibri" w:cs="Calibri"/>
                <w:color w:val="000000"/>
              </w:rPr>
              <w:t xml:space="preserve"> </w:t>
            </w:r>
          </w:p>
        </w:tc>
      </w:tr>
    </w:tbl>
    <w:p w14:paraId="26DBE9E4" w14:textId="77777777" w:rsidR="00DC4166" w:rsidRDefault="00DC4166">
      <w:pPr>
        <w:rPr>
          <w:sz w:val="22"/>
          <w:szCs w:val="22"/>
        </w:rPr>
      </w:pPr>
    </w:p>
    <w:p w14:paraId="5DA8937D" w14:textId="77777777" w:rsidR="00DC4166" w:rsidRDefault="00000000">
      <w:pPr>
        <w:rPr>
          <w:sz w:val="22"/>
          <w:szCs w:val="22"/>
        </w:rPr>
      </w:pPr>
      <w:r>
        <w:rPr>
          <w:sz w:val="22"/>
          <w:szCs w:val="22"/>
        </w:rPr>
        <w:t xml:space="preserve">On OTA performance considerations, it was agreed to specify OTA TRS requirements for 2Rx XR devices-based o 4Rx XR devices measurement campaign, while considering possible performance degradation of 2Rx. </w:t>
      </w:r>
    </w:p>
    <w:p w14:paraId="272EFD13" w14:textId="77777777" w:rsidR="00DC4166" w:rsidRDefault="00000000">
      <w:pPr>
        <w:rPr>
          <w:sz w:val="22"/>
          <w:szCs w:val="22"/>
        </w:rPr>
      </w:pPr>
      <w:r>
        <w:rPr>
          <w:sz w:val="22"/>
          <w:szCs w:val="22"/>
        </w:rPr>
        <w:t>On the REFSENS requirement, UE vendors and operators share different views. After several online and offline discussions, two options were considered and will be further discussed in the RAN plenary. In the first option, some UE vendors considered 0.5 dB tightening compared to 2Rx handheld devices is feasible. In the second option, some operators considered 2Rx XR UE meet the 4Rx handheld UE REFSENS requirements.</w:t>
      </w:r>
    </w:p>
    <w:p w14:paraId="50AF9380" w14:textId="77777777" w:rsidR="00DC4166" w:rsidRDefault="00000000">
      <w:pPr>
        <w:rPr>
          <w:sz w:val="22"/>
          <w:szCs w:val="22"/>
        </w:rPr>
      </w:pPr>
      <w:r>
        <w:rPr>
          <w:sz w:val="22"/>
          <w:szCs w:val="22"/>
        </w:rPr>
        <w:t xml:space="preserve">As discussed in [8], The reference sensitivity (REFSENS) RF requirements are decided by: </w:t>
      </w:r>
    </w:p>
    <w:p w14:paraId="7ABA67EB" w14:textId="77777777" w:rsidR="00DC4166" w:rsidRDefault="00000000">
      <w:pPr>
        <w:rPr>
          <w:sz w:val="22"/>
          <w:szCs w:val="22"/>
        </w:rPr>
      </w:pPr>
      <w:r>
        <w:rPr>
          <w:sz w:val="22"/>
          <w:szCs w:val="22"/>
        </w:rPr>
        <w:t xml:space="preserve">REFSENS = </w:t>
      </w:r>
      <w:proofErr w:type="spellStart"/>
      <w:r>
        <w:rPr>
          <w:sz w:val="22"/>
          <w:szCs w:val="22"/>
        </w:rPr>
        <w:t>kTB</w:t>
      </w:r>
      <w:proofErr w:type="spellEnd"/>
      <w:r>
        <w:rPr>
          <w:sz w:val="22"/>
          <w:szCs w:val="22"/>
        </w:rPr>
        <w:t xml:space="preserve"> + SNR +10log10(LCRB/NRB) </w:t>
      </w:r>
      <w:proofErr w:type="gramStart"/>
      <w:r>
        <w:rPr>
          <w:sz w:val="22"/>
          <w:szCs w:val="22"/>
        </w:rPr>
        <w:t>+( NF</w:t>
      </w:r>
      <w:proofErr w:type="gramEnd"/>
      <w:r>
        <w:rPr>
          <w:sz w:val="22"/>
          <w:szCs w:val="22"/>
        </w:rPr>
        <w:t>+ IM) – Diversity gain</w:t>
      </w:r>
      <w:r>
        <w:rPr>
          <w:sz w:val="22"/>
          <w:szCs w:val="22"/>
        </w:rPr>
        <w:tab/>
      </w:r>
      <w:r>
        <w:rPr>
          <w:sz w:val="22"/>
          <w:szCs w:val="22"/>
        </w:rPr>
        <w:tab/>
        <w:t xml:space="preserve"> </w:t>
      </w:r>
    </w:p>
    <w:p w14:paraId="5C319B14" w14:textId="77777777" w:rsidR="00DC4166" w:rsidRDefault="00000000">
      <w:pPr>
        <w:numPr>
          <w:ilvl w:val="0"/>
          <w:numId w:val="5"/>
        </w:numPr>
        <w:pBdr>
          <w:top w:val="nil"/>
          <w:left w:val="nil"/>
          <w:bottom w:val="nil"/>
          <w:right w:val="nil"/>
          <w:between w:val="nil"/>
        </w:pBdr>
        <w:spacing w:before="0" w:after="0"/>
        <w:rPr>
          <w:rFonts w:eastAsia="Times New Roman"/>
          <w:color w:val="000000"/>
          <w:sz w:val="22"/>
          <w:szCs w:val="22"/>
        </w:rPr>
      </w:pPr>
      <w:proofErr w:type="spellStart"/>
      <w:r>
        <w:rPr>
          <w:rFonts w:eastAsia="Times New Roman"/>
          <w:color w:val="000000"/>
          <w:sz w:val="22"/>
          <w:szCs w:val="22"/>
        </w:rPr>
        <w:t>kTB</w:t>
      </w:r>
      <w:proofErr w:type="spellEnd"/>
      <w:r>
        <w:rPr>
          <w:rFonts w:eastAsia="Times New Roman"/>
          <w:color w:val="000000"/>
          <w:sz w:val="22"/>
          <w:szCs w:val="22"/>
        </w:rPr>
        <w:t>: Thermal noise level is [-174dBm(</w:t>
      </w:r>
      <w:proofErr w:type="spellStart"/>
      <w:r>
        <w:rPr>
          <w:rFonts w:eastAsia="Times New Roman"/>
          <w:color w:val="000000"/>
          <w:sz w:val="22"/>
          <w:szCs w:val="22"/>
        </w:rPr>
        <w:t>kT</w:t>
      </w:r>
      <w:proofErr w:type="spellEnd"/>
      <w:r>
        <w:rPr>
          <w:rFonts w:eastAsia="Times New Roman"/>
          <w:color w:val="000000"/>
          <w:sz w:val="22"/>
          <w:szCs w:val="22"/>
        </w:rPr>
        <w:t>) + 10*log10(RX BW</w:t>
      </w:r>
      <w:proofErr w:type="gramStart"/>
      <w:r>
        <w:rPr>
          <w:rFonts w:eastAsia="Times New Roman"/>
          <w:color w:val="000000"/>
          <w:sz w:val="22"/>
          <w:szCs w:val="22"/>
        </w:rPr>
        <w:t>)]dBm</w:t>
      </w:r>
      <w:proofErr w:type="gramEnd"/>
      <w:r>
        <w:rPr>
          <w:rFonts w:eastAsia="Times New Roman"/>
          <w:color w:val="000000"/>
          <w:sz w:val="22"/>
          <w:szCs w:val="22"/>
        </w:rPr>
        <w:t>.</w:t>
      </w:r>
    </w:p>
    <w:p w14:paraId="76174014" w14:textId="77777777" w:rsidR="00DC4166" w:rsidRDefault="00000000">
      <w:pPr>
        <w:numPr>
          <w:ilvl w:val="0"/>
          <w:numId w:val="5"/>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NF: Noise figure. Assumed NF is 9dB &lt; 3GHz, NF is 10dB&gt;= 3GHz (</w:t>
      </w:r>
      <w:proofErr w:type="spellStart"/>
      <w:r>
        <w:rPr>
          <w:rFonts w:eastAsia="Times New Roman"/>
          <w:color w:val="000000"/>
          <w:sz w:val="22"/>
          <w:szCs w:val="22"/>
        </w:rPr>
        <w:t>e.g</w:t>
      </w:r>
      <w:proofErr w:type="spellEnd"/>
      <w:r>
        <w:rPr>
          <w:rFonts w:eastAsia="Times New Roman"/>
          <w:color w:val="000000"/>
          <w:sz w:val="22"/>
          <w:szCs w:val="22"/>
        </w:rPr>
        <w:t xml:space="preserve"> B42, n77, n78, n79…) at licensed bands at FR1.</w:t>
      </w:r>
    </w:p>
    <w:p w14:paraId="75023C18" w14:textId="77777777" w:rsidR="00DC4166" w:rsidRDefault="00000000">
      <w:pPr>
        <w:numPr>
          <w:ilvl w:val="0"/>
          <w:numId w:val="5"/>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IM (Implementation Margins): 2.5 dB is assumed.</w:t>
      </w:r>
    </w:p>
    <w:p w14:paraId="71C8563B" w14:textId="77777777" w:rsidR="00DC4166" w:rsidRDefault="00000000">
      <w:pPr>
        <w:numPr>
          <w:ilvl w:val="0"/>
          <w:numId w:val="5"/>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Target SNR: -0.5 dB</w:t>
      </w:r>
    </w:p>
    <w:p w14:paraId="2DA11CD5" w14:textId="77777777" w:rsidR="00DC4166" w:rsidRDefault="00000000">
      <w:pPr>
        <w:numPr>
          <w:ilvl w:val="0"/>
          <w:numId w:val="5"/>
        </w:numPr>
        <w:pBdr>
          <w:top w:val="nil"/>
          <w:left w:val="nil"/>
          <w:bottom w:val="nil"/>
          <w:right w:val="nil"/>
          <w:between w:val="nil"/>
        </w:pBdr>
        <w:spacing w:before="0"/>
        <w:rPr>
          <w:rFonts w:eastAsia="Times New Roman"/>
          <w:color w:val="000000"/>
          <w:sz w:val="22"/>
          <w:szCs w:val="22"/>
        </w:rPr>
      </w:pPr>
      <w:r>
        <w:rPr>
          <w:rFonts w:eastAsia="Times New Roman"/>
          <w:color w:val="000000"/>
          <w:sz w:val="22"/>
          <w:szCs w:val="22"/>
        </w:rPr>
        <w:t>Diversity gain: 3dB</w:t>
      </w:r>
    </w:p>
    <w:p w14:paraId="18DBD38D" w14:textId="77777777" w:rsidR="00DC4166" w:rsidRDefault="00000000">
      <w:pPr>
        <w:rPr>
          <w:sz w:val="22"/>
          <w:szCs w:val="22"/>
        </w:rPr>
      </w:pPr>
      <w:bookmarkStart w:id="3" w:name="_heading=h.4d34og8" w:colFirst="0" w:colLast="0"/>
      <w:bookmarkEnd w:id="3"/>
      <w:r>
        <w:rPr>
          <w:sz w:val="22"/>
          <w:szCs w:val="22"/>
        </w:rPr>
        <w:t>The REFSENS requirements are primarily determined by two variable factors: implementation margins (IM) and noise figure (NF). The formula does not allow for much tightening. However, it may be possible to assume a smaller implementation margin.</w:t>
      </w:r>
    </w:p>
    <w:p w14:paraId="444F763B" w14:textId="56CE857F" w:rsidR="00DC4166" w:rsidRDefault="00000000">
      <w:pPr>
        <w:rPr>
          <w:sz w:val="22"/>
          <w:szCs w:val="22"/>
        </w:rPr>
      </w:pPr>
      <w:r>
        <w:rPr>
          <w:sz w:val="22"/>
          <w:szCs w:val="22"/>
        </w:rPr>
        <w:t xml:space="preserve">At RAN4#110, the “Option 3”, as first proposed in [12] was discussed in offline discussions as one of the </w:t>
      </w:r>
      <w:r w:rsidR="00A12ADF">
        <w:rPr>
          <w:sz w:val="22"/>
          <w:szCs w:val="22"/>
        </w:rPr>
        <w:t>candidate options for</w:t>
      </w:r>
      <w:r>
        <w:rPr>
          <w:sz w:val="22"/>
          <w:szCs w:val="22"/>
        </w:rPr>
        <w:t xml:space="preserve"> REFSENS tightening. </w:t>
      </w:r>
    </w:p>
    <w:p w14:paraId="37777D24" w14:textId="77777777" w:rsidR="00DC4166" w:rsidRDefault="00000000">
      <w:pPr>
        <w:keepNext/>
        <w:keepLines/>
        <w:pBdr>
          <w:top w:val="nil"/>
          <w:left w:val="nil"/>
          <w:bottom w:val="nil"/>
          <w:right w:val="nil"/>
          <w:between w:val="nil"/>
        </w:pBdr>
        <w:spacing w:before="60"/>
        <w:jc w:val="center"/>
        <w:rPr>
          <w:rFonts w:ascii="Arial" w:eastAsia="Arial" w:hAnsi="Arial" w:cs="Arial"/>
          <w:b/>
          <w:color w:val="000000"/>
          <w:sz w:val="20"/>
          <w:szCs w:val="20"/>
          <w:vertAlign w:val="subscript"/>
        </w:rPr>
      </w:pPr>
      <w:bookmarkStart w:id="4" w:name="_heading=h.2et92p0" w:colFirst="0" w:colLast="0"/>
      <w:bookmarkEnd w:id="4"/>
      <w:r>
        <w:rPr>
          <w:rFonts w:ascii="Arial" w:eastAsia="Arial" w:hAnsi="Arial" w:cs="Arial"/>
          <w:b/>
          <w:color w:val="000000"/>
          <w:sz w:val="20"/>
          <w:szCs w:val="20"/>
        </w:rPr>
        <w:t>Table 1: Two antenna port reference sensitivity allowance ΔR</w:t>
      </w:r>
      <w:r>
        <w:rPr>
          <w:rFonts w:ascii="Arial" w:eastAsia="Arial" w:hAnsi="Arial" w:cs="Arial"/>
          <w:b/>
          <w:color w:val="000000"/>
          <w:sz w:val="20"/>
          <w:szCs w:val="20"/>
          <w:vertAlign w:val="subscript"/>
        </w:rPr>
        <w:t>XR,2R</w:t>
      </w:r>
    </w:p>
    <w:tbl>
      <w:tblPr>
        <w:tblStyle w:val="aff5"/>
        <w:tblW w:w="58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9"/>
        <w:gridCol w:w="2970"/>
      </w:tblGrid>
      <w:tr w:rsidR="00DC4166" w14:paraId="13FFE6FA" w14:textId="77777777">
        <w:trPr>
          <w:jc w:val="center"/>
        </w:trPr>
        <w:tc>
          <w:tcPr>
            <w:tcW w:w="2889" w:type="dxa"/>
          </w:tcPr>
          <w:p w14:paraId="7E08A165" w14:textId="77777777" w:rsidR="00DC4166" w:rsidRDefault="00000000">
            <w:pPr>
              <w:keepNext/>
              <w:keepLines/>
              <w:pBdr>
                <w:top w:val="nil"/>
                <w:left w:val="nil"/>
                <w:bottom w:val="nil"/>
                <w:right w:val="nil"/>
                <w:between w:val="nil"/>
              </w:pBdr>
              <w:spacing w:before="0" w:after="0"/>
              <w:jc w:val="center"/>
              <w:rPr>
                <w:rFonts w:ascii="Arial" w:eastAsia="Arial" w:hAnsi="Arial" w:cs="Arial"/>
                <w:b/>
                <w:color w:val="000000"/>
                <w:sz w:val="18"/>
                <w:szCs w:val="18"/>
              </w:rPr>
            </w:pPr>
            <w:r>
              <w:rPr>
                <w:rFonts w:ascii="Arial" w:eastAsia="Arial" w:hAnsi="Arial" w:cs="Arial"/>
                <w:b/>
                <w:color w:val="000000"/>
                <w:sz w:val="18"/>
                <w:szCs w:val="18"/>
              </w:rPr>
              <w:t>Operating band</w:t>
            </w:r>
          </w:p>
        </w:tc>
        <w:tc>
          <w:tcPr>
            <w:tcW w:w="2970" w:type="dxa"/>
          </w:tcPr>
          <w:p w14:paraId="2C249F4C" w14:textId="77777777" w:rsidR="00DC4166" w:rsidRDefault="00000000">
            <w:pPr>
              <w:keepNext/>
              <w:keepLines/>
              <w:pBdr>
                <w:top w:val="nil"/>
                <w:left w:val="nil"/>
                <w:bottom w:val="nil"/>
                <w:right w:val="nil"/>
                <w:between w:val="nil"/>
              </w:pBdr>
              <w:spacing w:before="0" w:after="0"/>
              <w:jc w:val="center"/>
              <w:rPr>
                <w:rFonts w:ascii="Arial" w:eastAsia="Arial" w:hAnsi="Arial" w:cs="Arial"/>
                <w:b/>
                <w:color w:val="000000"/>
                <w:sz w:val="18"/>
                <w:szCs w:val="18"/>
              </w:rPr>
            </w:pPr>
            <w:r>
              <w:rPr>
                <w:rFonts w:ascii="Arial" w:eastAsia="Arial" w:hAnsi="Arial" w:cs="Arial"/>
                <w:b/>
                <w:color w:val="000000"/>
                <w:sz w:val="18"/>
                <w:szCs w:val="18"/>
              </w:rPr>
              <w:t>ΔR</w:t>
            </w:r>
            <w:r>
              <w:rPr>
                <w:rFonts w:ascii="Arial" w:eastAsia="Arial" w:hAnsi="Arial" w:cs="Arial"/>
                <w:b/>
                <w:color w:val="000000"/>
                <w:sz w:val="18"/>
                <w:szCs w:val="18"/>
                <w:vertAlign w:val="subscript"/>
              </w:rPr>
              <w:t xml:space="preserve">XR,2R </w:t>
            </w:r>
            <w:r>
              <w:rPr>
                <w:rFonts w:ascii="Arial" w:eastAsia="Arial" w:hAnsi="Arial" w:cs="Arial"/>
                <w:b/>
                <w:color w:val="000000"/>
                <w:sz w:val="18"/>
                <w:szCs w:val="18"/>
              </w:rPr>
              <w:t>(dB)</w:t>
            </w:r>
          </w:p>
        </w:tc>
      </w:tr>
      <w:tr w:rsidR="00DC4166" w14:paraId="1BF590E8" w14:textId="77777777">
        <w:trPr>
          <w:jc w:val="center"/>
        </w:trPr>
        <w:tc>
          <w:tcPr>
            <w:tcW w:w="2889" w:type="dxa"/>
            <w:vAlign w:val="center"/>
          </w:tcPr>
          <w:p w14:paraId="5B4CB96B" w14:textId="77777777" w:rsidR="00DC4166" w:rsidRDefault="00000000">
            <w:pPr>
              <w:keepNext/>
              <w:keepLines/>
              <w:pBdr>
                <w:top w:val="nil"/>
                <w:left w:val="nil"/>
                <w:bottom w:val="nil"/>
                <w:right w:val="nil"/>
                <w:between w:val="nil"/>
              </w:pBdr>
              <w:spacing w:before="0" w:after="0"/>
              <w:jc w:val="center"/>
              <w:rPr>
                <w:rFonts w:ascii="Arial" w:eastAsia="Arial" w:hAnsi="Arial" w:cs="Arial"/>
                <w:color w:val="000000"/>
                <w:sz w:val="18"/>
                <w:szCs w:val="18"/>
              </w:rPr>
            </w:pPr>
            <w:r>
              <w:rPr>
                <w:rFonts w:ascii="Arial" w:eastAsia="Arial" w:hAnsi="Arial" w:cs="Arial"/>
                <w:color w:val="000000"/>
                <w:sz w:val="18"/>
                <w:szCs w:val="18"/>
              </w:rPr>
              <w:t>n7, n38, n41</w:t>
            </w:r>
          </w:p>
        </w:tc>
        <w:tc>
          <w:tcPr>
            <w:tcW w:w="2970" w:type="dxa"/>
            <w:vAlign w:val="center"/>
          </w:tcPr>
          <w:p w14:paraId="29722B58" w14:textId="77777777" w:rsidR="00DC4166" w:rsidRDefault="00000000">
            <w:pPr>
              <w:keepNext/>
              <w:keepLines/>
              <w:pBdr>
                <w:top w:val="nil"/>
                <w:left w:val="nil"/>
                <w:bottom w:val="nil"/>
                <w:right w:val="nil"/>
                <w:between w:val="nil"/>
              </w:pBdr>
              <w:spacing w:before="0" w:after="0"/>
              <w:jc w:val="center"/>
              <w:rPr>
                <w:rFonts w:ascii="Arial" w:eastAsia="Arial" w:hAnsi="Arial" w:cs="Arial"/>
                <w:color w:val="000000"/>
                <w:sz w:val="18"/>
                <w:szCs w:val="18"/>
              </w:rPr>
            </w:pPr>
            <w:r>
              <w:rPr>
                <w:rFonts w:ascii="Arial" w:eastAsia="Arial" w:hAnsi="Arial" w:cs="Arial"/>
                <w:color w:val="000000"/>
                <w:sz w:val="18"/>
                <w:szCs w:val="18"/>
              </w:rPr>
              <w:t>-1.5</w:t>
            </w:r>
          </w:p>
        </w:tc>
      </w:tr>
      <w:tr w:rsidR="00DC4166" w14:paraId="08604EF7" w14:textId="77777777">
        <w:trPr>
          <w:jc w:val="center"/>
        </w:trPr>
        <w:tc>
          <w:tcPr>
            <w:tcW w:w="2889" w:type="dxa"/>
            <w:vAlign w:val="center"/>
          </w:tcPr>
          <w:p w14:paraId="36C4E820" w14:textId="77777777" w:rsidR="00DC4166" w:rsidRDefault="00000000">
            <w:pPr>
              <w:keepNext/>
              <w:keepLines/>
              <w:pBdr>
                <w:top w:val="nil"/>
                <w:left w:val="nil"/>
                <w:bottom w:val="nil"/>
                <w:right w:val="nil"/>
                <w:between w:val="nil"/>
              </w:pBdr>
              <w:spacing w:before="0" w:after="0"/>
              <w:jc w:val="center"/>
              <w:rPr>
                <w:rFonts w:ascii="Arial" w:eastAsia="Arial" w:hAnsi="Arial" w:cs="Arial"/>
                <w:color w:val="000000"/>
                <w:sz w:val="18"/>
                <w:szCs w:val="18"/>
              </w:rPr>
            </w:pPr>
            <w:r>
              <w:rPr>
                <w:rFonts w:ascii="Arial" w:eastAsia="Arial" w:hAnsi="Arial" w:cs="Arial"/>
                <w:color w:val="000000"/>
                <w:sz w:val="18"/>
                <w:szCs w:val="18"/>
              </w:rPr>
              <w:t>n48, n77, n78, n79, n104</w:t>
            </w:r>
          </w:p>
        </w:tc>
        <w:tc>
          <w:tcPr>
            <w:tcW w:w="2970" w:type="dxa"/>
            <w:vAlign w:val="center"/>
          </w:tcPr>
          <w:p w14:paraId="3B09F748" w14:textId="77777777" w:rsidR="00DC4166" w:rsidRDefault="00000000">
            <w:pPr>
              <w:keepNext/>
              <w:keepLines/>
              <w:pBdr>
                <w:top w:val="nil"/>
                <w:left w:val="nil"/>
                <w:bottom w:val="nil"/>
                <w:right w:val="nil"/>
                <w:between w:val="nil"/>
              </w:pBdr>
              <w:spacing w:before="0" w:after="0"/>
              <w:jc w:val="center"/>
              <w:rPr>
                <w:rFonts w:ascii="Arial" w:eastAsia="Arial" w:hAnsi="Arial" w:cs="Arial"/>
                <w:color w:val="000000"/>
                <w:sz w:val="18"/>
                <w:szCs w:val="18"/>
              </w:rPr>
            </w:pPr>
            <w:r>
              <w:rPr>
                <w:rFonts w:ascii="Arial" w:eastAsia="Arial" w:hAnsi="Arial" w:cs="Arial"/>
                <w:color w:val="000000"/>
                <w:sz w:val="18"/>
                <w:szCs w:val="18"/>
              </w:rPr>
              <w:t>-1.0</w:t>
            </w:r>
          </w:p>
        </w:tc>
      </w:tr>
    </w:tbl>
    <w:p w14:paraId="3C05E17D" w14:textId="77777777" w:rsidR="00DC4166" w:rsidRDefault="00000000">
      <w:pPr>
        <w:rPr>
          <w:sz w:val="22"/>
          <w:szCs w:val="22"/>
        </w:rPr>
      </w:pPr>
      <w:r>
        <w:rPr>
          <w:sz w:val="22"/>
          <w:szCs w:val="22"/>
        </w:rPr>
        <w:t xml:space="preserve">In [13], it was shown that showed that of the devices studied, every Rx port passed the 2Rx REFSENS with a single Rx port, and every device had at least two ports that had more than 2 dB margin for meeting the 2Rx REFSENS with a single Rx. Although the data samples in [13] are limited and they are based on existing handheld UEs, this shows some level of REFSENS tightening could be possible for 2Rx UEs. </w:t>
      </w:r>
    </w:p>
    <w:p w14:paraId="48A84343" w14:textId="77777777" w:rsidR="00DC4166" w:rsidRDefault="00000000">
      <w:pPr>
        <w:rPr>
          <w:sz w:val="22"/>
          <w:szCs w:val="22"/>
        </w:rPr>
      </w:pPr>
      <w:r>
        <w:rPr>
          <w:sz w:val="22"/>
          <w:szCs w:val="22"/>
        </w:rPr>
        <w:t>Based on the considerations mentioned above, it appears that some level of margin is feasible for tightening REFSENS. As a starting point for discussion in the RAN plenary, we propose a 0.5 dB tightening of REFSENS, with the possibility of further tightening if necessary.</w:t>
      </w:r>
    </w:p>
    <w:p w14:paraId="7A294CC9" w14:textId="77777777" w:rsidR="00DC4166" w:rsidRDefault="00000000">
      <w:pPr>
        <w:rPr>
          <w:sz w:val="22"/>
          <w:szCs w:val="22"/>
        </w:rPr>
      </w:pPr>
      <w:r>
        <w:rPr>
          <w:b/>
          <w:sz w:val="22"/>
          <w:szCs w:val="22"/>
        </w:rPr>
        <w:t xml:space="preserve">Proposal 2: </w:t>
      </w:r>
      <w:r>
        <w:rPr>
          <w:sz w:val="22"/>
          <w:szCs w:val="22"/>
        </w:rPr>
        <w:t>Consider 0.5 dB REFSENS tightening as a starting point in RAN plenary discussion, with the possibility of further tightening if necessary.</w:t>
      </w:r>
    </w:p>
    <w:p w14:paraId="1D73A6FE" w14:textId="77777777" w:rsidR="00DC4166" w:rsidRDefault="00000000">
      <w:pPr>
        <w:pStyle w:val="Heading1"/>
        <w:numPr>
          <w:ilvl w:val="0"/>
          <w:numId w:val="2"/>
        </w:numPr>
        <w:pBdr>
          <w:top w:val="single" w:sz="12" w:space="3" w:color="000000"/>
        </w:pBdr>
        <w:spacing w:after="180"/>
        <w:rPr>
          <w:b/>
          <w:sz w:val="30"/>
          <w:szCs w:val="30"/>
        </w:rPr>
      </w:pPr>
      <w:r>
        <w:rPr>
          <w:b/>
          <w:sz w:val="30"/>
          <w:szCs w:val="30"/>
        </w:rPr>
        <w:lastRenderedPageBreak/>
        <w:t xml:space="preserve">Conclusion </w:t>
      </w:r>
    </w:p>
    <w:p w14:paraId="78DA2E5E" w14:textId="77777777" w:rsidR="00DC4166" w:rsidRDefault="00000000">
      <w:pPr>
        <w:rPr>
          <w:sz w:val="22"/>
          <w:szCs w:val="22"/>
        </w:rPr>
      </w:pPr>
      <w:bookmarkStart w:id="5" w:name="_heading=h.tyjcwt" w:colFirst="0" w:colLast="0"/>
      <w:bookmarkEnd w:id="5"/>
      <w:r>
        <w:rPr>
          <w:sz w:val="22"/>
          <w:szCs w:val="22"/>
        </w:rPr>
        <w:t xml:space="preserve">We discussed RAN2, RAN3, and RAN3 tasks to support 2Rx for XR devices. </w:t>
      </w:r>
    </w:p>
    <w:p w14:paraId="6531D304" w14:textId="77777777" w:rsidR="00DC4166" w:rsidRDefault="00000000">
      <w:pPr>
        <w:rPr>
          <w:b/>
          <w:sz w:val="22"/>
          <w:szCs w:val="22"/>
        </w:rPr>
      </w:pPr>
      <w:r>
        <w:rPr>
          <w:b/>
          <w:sz w:val="22"/>
          <w:szCs w:val="22"/>
        </w:rPr>
        <w:t xml:space="preserve">Proposal 1: </w:t>
      </w:r>
      <w:r>
        <w:rPr>
          <w:sz w:val="22"/>
          <w:szCs w:val="22"/>
        </w:rPr>
        <w:t xml:space="preserve">Consider approving the set of RAN2 draft CRs [2]. </w:t>
      </w:r>
    </w:p>
    <w:p w14:paraId="43793EDB" w14:textId="77777777" w:rsidR="00DC4166" w:rsidRDefault="00000000">
      <w:pPr>
        <w:rPr>
          <w:sz w:val="22"/>
          <w:szCs w:val="22"/>
        </w:rPr>
      </w:pPr>
      <w:r>
        <w:rPr>
          <w:b/>
          <w:sz w:val="22"/>
          <w:szCs w:val="22"/>
        </w:rPr>
        <w:t xml:space="preserve">Proposal 2: </w:t>
      </w:r>
      <w:r>
        <w:rPr>
          <w:sz w:val="22"/>
          <w:szCs w:val="22"/>
        </w:rPr>
        <w:t xml:space="preserve">Consider 0.5 dB REFSENS tightening as a starting point in RAN plenary discussion. </w:t>
      </w:r>
    </w:p>
    <w:p w14:paraId="1D6D41CF" w14:textId="77777777" w:rsidR="00DC4166" w:rsidRDefault="00000000">
      <w:pPr>
        <w:pStyle w:val="Heading1"/>
        <w:numPr>
          <w:ilvl w:val="0"/>
          <w:numId w:val="2"/>
        </w:numPr>
        <w:pBdr>
          <w:top w:val="single" w:sz="12" w:space="3" w:color="000000"/>
        </w:pBdr>
        <w:spacing w:after="180"/>
        <w:rPr>
          <w:b/>
          <w:sz w:val="30"/>
          <w:szCs w:val="30"/>
        </w:rPr>
      </w:pPr>
      <w:r>
        <w:rPr>
          <w:b/>
          <w:sz w:val="30"/>
          <w:szCs w:val="30"/>
        </w:rPr>
        <w:t xml:space="preserve">References </w:t>
      </w:r>
    </w:p>
    <w:p w14:paraId="03826B68" w14:textId="77777777" w:rsidR="00DC4166" w:rsidRDefault="00000000">
      <w:pPr>
        <w:numPr>
          <w:ilvl w:val="0"/>
          <w:numId w:val="4"/>
        </w:numPr>
        <w:pBdr>
          <w:top w:val="nil"/>
          <w:left w:val="nil"/>
          <w:bottom w:val="nil"/>
          <w:right w:val="nil"/>
          <w:between w:val="nil"/>
        </w:pBdr>
        <w:spacing w:before="75" w:after="75" w:line="256" w:lineRule="auto"/>
        <w:rPr>
          <w:color w:val="000000"/>
          <w:sz w:val="22"/>
          <w:szCs w:val="22"/>
        </w:rPr>
      </w:pPr>
      <w:r>
        <w:rPr>
          <w:color w:val="000000"/>
          <w:sz w:val="22"/>
          <w:szCs w:val="22"/>
        </w:rPr>
        <w:t>RP-234015, Summary of offline session on 2Rx for XR, Offline session moderator (Nokia), RAN#102</w:t>
      </w:r>
    </w:p>
    <w:p w14:paraId="3D5F3A04"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sz w:val="22"/>
          <w:szCs w:val="22"/>
        </w:rPr>
        <w:t>R2-2401560, R2-2401561, R2-2401562, R2-2401563, Introduction of 2Rx XR UE</w:t>
      </w:r>
      <w:r>
        <w:rPr>
          <w:color w:val="000000"/>
          <w:sz w:val="22"/>
          <w:szCs w:val="22"/>
        </w:rPr>
        <w:t xml:space="preserve">, </w:t>
      </w:r>
      <w:r>
        <w:rPr>
          <w:sz w:val="22"/>
          <w:szCs w:val="22"/>
        </w:rPr>
        <w:t xml:space="preserve">Qualcomm Incorporated, AT&amp;T, BT Plc, Ericsson, Huawei, </w:t>
      </w:r>
      <w:proofErr w:type="spellStart"/>
      <w:r>
        <w:rPr>
          <w:sz w:val="22"/>
          <w:szCs w:val="22"/>
        </w:rPr>
        <w:t>HiSilicon</w:t>
      </w:r>
      <w:proofErr w:type="spellEnd"/>
      <w:r>
        <w:rPr>
          <w:sz w:val="22"/>
          <w:szCs w:val="22"/>
        </w:rPr>
        <w:t xml:space="preserve">, Nokia, Nokia Shanghai Bell, Meta, MediaTek, Samsung, T-Mobile USA, ZTE Corporation, </w:t>
      </w:r>
      <w:proofErr w:type="spellStart"/>
      <w:r>
        <w:rPr>
          <w:sz w:val="22"/>
          <w:szCs w:val="22"/>
        </w:rPr>
        <w:t>Sanechip</w:t>
      </w:r>
      <w:proofErr w:type="spellEnd"/>
      <w:r>
        <w:rPr>
          <w:sz w:val="22"/>
          <w:szCs w:val="22"/>
        </w:rPr>
        <w:t xml:space="preserve">, </w:t>
      </w:r>
      <w:proofErr w:type="spellStart"/>
      <w:r>
        <w:rPr>
          <w:sz w:val="22"/>
          <w:szCs w:val="22"/>
        </w:rPr>
        <w:t>Futurewei</w:t>
      </w:r>
      <w:proofErr w:type="spellEnd"/>
    </w:p>
    <w:p w14:paraId="09417F00" w14:textId="77777777" w:rsidR="00DC4166" w:rsidRDefault="00000000">
      <w:pPr>
        <w:numPr>
          <w:ilvl w:val="0"/>
          <w:numId w:val="4"/>
        </w:numPr>
        <w:spacing w:after="0"/>
        <w:rPr>
          <w:sz w:val="22"/>
          <w:szCs w:val="22"/>
        </w:rPr>
      </w:pPr>
      <w:r>
        <w:rPr>
          <w:sz w:val="22"/>
          <w:szCs w:val="22"/>
        </w:rPr>
        <w:t>R2-2401986, R2-2401987, R2-2401988, R2-2401989, Introduction of 2Rx XR UE, Apple Inc., Vodafone, AT&amp;T</w:t>
      </w:r>
    </w:p>
    <w:p w14:paraId="30B1EAC8"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R3-241069, Introduction of new SPID value for 2RX XR UE, Nokia, Nokia Shanghai Bell, ZTE, Apple, Ericsson, Qualcomm, Deutsche Telekom, Vodafone, CATT, CMCC</w:t>
      </w:r>
    </w:p>
    <w:p w14:paraId="3488D4F2"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R3-241070, Introduction of 2Rx relaxation for XR devices, Huawei, Telecom Italia, Telia Company, NTT DOCOMO, T-Mobile USA, BT, Deutsche Telekom, Spark NZ Ltd, Qualcomm, ZTE, Nokia, Nokia Shanghai Bell, Apple, Ericsson, CATT</w:t>
      </w:r>
    </w:p>
    <w:p w14:paraId="005E1D09"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R4-2403878, WF on 2Rx XR UE requirements, Moderator (Apple), Nokia, Meta Ireland</w:t>
      </w:r>
    </w:p>
    <w:p w14:paraId="358CA2EF"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R4-2403890, CR TS38.101-1 on XR device definition and REFSENS requirements for 2Rx non-Redcap XR device, Nokia, Meta Ireland</w:t>
      </w:r>
    </w:p>
    <w:p w14:paraId="6F537B4C"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R2-2400144, Signaling support for 2Rx non-RedCap XR UEs, Qualcomm Incorporated, BT plc, Ericsson, Meta, Nokia, Nokia Shanghai Bell</w:t>
      </w:r>
    </w:p>
    <w:p w14:paraId="70ADFDFB"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R4-2400552, Discussion on REFSENS Performance of 2Rx non-RedCap XR Device, Meta Ireland</w:t>
      </w:r>
    </w:p>
    <w:p w14:paraId="5DF56B43"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R4-2400553, Discussion on OTA evaluation Methodology of 2Rx non-RedCap XR Device, Meta Ireland</w:t>
      </w:r>
    </w:p>
    <w:p w14:paraId="2B20C487"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R4-2400555, CR TS38.101-1 on XR device definition and REFSENS requirements for 2Rx non-Redcap XR device, Meta Ireland</w:t>
      </w:r>
    </w:p>
    <w:p w14:paraId="23204B0F" w14:textId="77777777" w:rsidR="00DC4166" w:rsidRDefault="00000000">
      <w:pPr>
        <w:numPr>
          <w:ilvl w:val="0"/>
          <w:numId w:val="4"/>
        </w:numPr>
        <w:pBdr>
          <w:top w:val="nil"/>
          <w:left w:val="nil"/>
          <w:bottom w:val="nil"/>
          <w:right w:val="nil"/>
          <w:between w:val="nil"/>
        </w:pBdr>
        <w:spacing w:before="0" w:after="0"/>
        <w:rPr>
          <w:rFonts w:eastAsia="Times New Roman"/>
          <w:color w:val="000000"/>
          <w:sz w:val="22"/>
          <w:szCs w:val="22"/>
        </w:rPr>
      </w:pPr>
      <w:r>
        <w:rPr>
          <w:rFonts w:eastAsia="Times New Roman"/>
          <w:color w:val="000000"/>
          <w:sz w:val="22"/>
          <w:szCs w:val="22"/>
        </w:rPr>
        <w:t>R4-2402421, Discussion on requirements for 2Rx non-RedCap XR UE, Huawei paper</w:t>
      </w:r>
      <w:r>
        <w:rPr>
          <w:rFonts w:eastAsia="Times New Roman"/>
          <w:color w:val="000000"/>
        </w:rPr>
        <w:t xml:space="preserve"> </w:t>
      </w:r>
      <w:r>
        <w:rPr>
          <w:rFonts w:eastAsia="Times New Roman"/>
          <w:color w:val="000000"/>
          <w:sz w:val="22"/>
          <w:szCs w:val="22"/>
        </w:rPr>
        <w:t xml:space="preserve">Huawei, </w:t>
      </w:r>
      <w:proofErr w:type="spellStart"/>
      <w:r>
        <w:rPr>
          <w:rFonts w:eastAsia="Times New Roman"/>
          <w:color w:val="000000"/>
          <w:sz w:val="22"/>
          <w:szCs w:val="22"/>
        </w:rPr>
        <w:t>HiSilicon</w:t>
      </w:r>
      <w:proofErr w:type="spellEnd"/>
      <w:r>
        <w:rPr>
          <w:rFonts w:eastAsia="Times New Roman"/>
          <w:color w:val="000000"/>
          <w:sz w:val="22"/>
          <w:szCs w:val="22"/>
        </w:rPr>
        <w:t>, Telecom Italia, Telia Company, T-Mobile USA, Telefonica, BT plc, CMCC, Orange, Spark (NZ)</w:t>
      </w:r>
    </w:p>
    <w:p w14:paraId="28EC3406" w14:textId="77777777" w:rsidR="00DC4166" w:rsidRDefault="00000000">
      <w:pPr>
        <w:numPr>
          <w:ilvl w:val="0"/>
          <w:numId w:val="4"/>
        </w:numPr>
        <w:pBdr>
          <w:top w:val="nil"/>
          <w:left w:val="nil"/>
          <w:bottom w:val="nil"/>
          <w:right w:val="nil"/>
          <w:between w:val="nil"/>
        </w:pBdr>
        <w:spacing w:before="0" w:after="0"/>
        <w:rPr>
          <w:rFonts w:eastAsia="Times New Roman"/>
          <w:color w:val="000000"/>
          <w:sz w:val="20"/>
          <w:szCs w:val="20"/>
        </w:rPr>
      </w:pPr>
      <w:r>
        <w:rPr>
          <w:rFonts w:eastAsia="Times New Roman"/>
          <w:color w:val="000000"/>
          <w:sz w:val="22"/>
          <w:szCs w:val="22"/>
        </w:rPr>
        <w:t>R4-2403676, Proposal for 2Rx Requirements for XR for bands that require 4Rx, T-Mobile USA, Deutsche Telekom, Vodafone, AT&amp;T, Orange, Spark, Telstra, TELUS</w:t>
      </w:r>
    </w:p>
    <w:sectPr w:rsidR="00DC416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F0E"/>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846DFC"/>
    <w:multiLevelType w:val="multilevel"/>
    <w:tmpl w:val="6674EB40"/>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AB1987"/>
    <w:multiLevelType w:val="multilevel"/>
    <w:tmpl w:val="181EAD6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D183FD8"/>
    <w:multiLevelType w:val="multilevel"/>
    <w:tmpl w:val="E3DCF290"/>
    <w:lvl w:ilvl="0">
      <w:start w:val="3"/>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46527102"/>
    <w:multiLevelType w:val="multilevel"/>
    <w:tmpl w:val="7902B3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B301345"/>
    <w:multiLevelType w:val="multilevel"/>
    <w:tmpl w:val="019060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CFB58FC"/>
    <w:multiLevelType w:val="multilevel"/>
    <w:tmpl w:val="2182E0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DA098C"/>
    <w:multiLevelType w:val="multilevel"/>
    <w:tmpl w:val="F63A961C"/>
    <w:lvl w:ilvl="0">
      <w:start w:val="1"/>
      <w:numFmt w:val="decimal"/>
      <w:lvlText w:val="[%1]"/>
      <w:lvlJc w:val="left"/>
      <w:pPr>
        <w:ind w:left="432" w:hanging="432"/>
      </w:pPr>
      <w:rPr>
        <w:b/>
        <w:sz w:val="21"/>
        <w:szCs w:val="21"/>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10065531">
    <w:abstractNumId w:val="2"/>
  </w:num>
  <w:num w:numId="2" w16cid:durableId="1242987688">
    <w:abstractNumId w:val="0"/>
  </w:num>
  <w:num w:numId="3" w16cid:durableId="650983999">
    <w:abstractNumId w:val="4"/>
  </w:num>
  <w:num w:numId="4" w16cid:durableId="1034817352">
    <w:abstractNumId w:val="7"/>
  </w:num>
  <w:num w:numId="5" w16cid:durableId="1206454994">
    <w:abstractNumId w:val="5"/>
  </w:num>
  <w:num w:numId="6" w16cid:durableId="600068446">
    <w:abstractNumId w:val="6"/>
  </w:num>
  <w:num w:numId="7" w16cid:durableId="508495584">
    <w:abstractNumId w:val="3"/>
  </w:num>
  <w:num w:numId="8" w16cid:durableId="12520830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166"/>
    <w:rsid w:val="0022677B"/>
    <w:rsid w:val="00A12ADF"/>
    <w:rsid w:val="00AB7061"/>
    <w:rsid w:val="00DC4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B22E8"/>
  <w15:docId w15:val="{58F7CEBB-D7BA-4FC7-8998-BC315AA4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8"/>
    <w:pPr>
      <w:overflowPunct w:val="0"/>
      <w:autoSpaceDE w:val="0"/>
      <w:autoSpaceDN w:val="0"/>
      <w:adjustRightInd w:val="0"/>
      <w:spacing w:before="100" w:beforeAutospacing="1"/>
    </w:pPr>
    <w:rPr>
      <w:rFonts w:eastAsia="SimSun"/>
      <w:lang w:eastAsia="zh-CN"/>
    </w:r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列表段落"/>
    <w:basedOn w:val="Normal"/>
    <w:link w:val="ListParagraphChar"/>
    <w:uiPriority w:val="34"/>
    <w:qFormat/>
    <w:rsid w:val="00EB14D5"/>
    <w:pPr>
      <w:ind w:left="720"/>
      <w:contextualSpacing/>
    </w:pPr>
  </w:style>
  <w:style w:type="paragraph" w:customStyle="1" w:styleId="Agreement">
    <w:name w:val="Agreement"/>
    <w:basedOn w:val="Normal"/>
    <w:next w:val="Normal"/>
    <w:uiPriority w:val="99"/>
    <w:qFormat/>
    <w:rsid w:val="00EB14D5"/>
    <w:pPr>
      <w:numPr>
        <w:numId w:val="8"/>
      </w:numPr>
      <w:tabs>
        <w:tab w:val="num" w:pos="1619"/>
      </w:tabs>
      <w:spacing w:before="60"/>
      <w:ind w:left="1616" w:hanging="357"/>
      <w:textAlignment w:val="baseline"/>
    </w:pPr>
    <w:rPr>
      <w:rFonts w:eastAsia="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pPr>
    <w:rPr>
      <w:rFonts w:eastAsia="MS Mincho"/>
      <w:b/>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jc w:val="both"/>
    </w:pPr>
    <w:rPr>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spacing w:after="240"/>
      <w:jc w:val="both"/>
    </w:pPr>
    <w:rPr>
      <w:rFonts w:eastAsia="Times New Roman"/>
      <w:b/>
      <w:szCs w:val="20"/>
      <w:lang w:val="en-GB"/>
    </w:rPr>
  </w:style>
  <w:style w:type="paragraph" w:customStyle="1" w:styleId="CRCoverPage">
    <w:name w:val="CR Cover Page"/>
    <w:link w:val="CRCoverPageChar"/>
    <w:qFormat/>
    <w:rsid w:val="00D358A5"/>
    <w:pPr>
      <w:spacing w:after="120"/>
    </w:pPr>
    <w:rPr>
      <w:sz w:val="20"/>
      <w:szCs w:val="20"/>
      <w:lang w:val="en-GB"/>
    </w:rPr>
  </w:style>
  <w:style w:type="character" w:styleId="Hyperlink">
    <w:name w:val="Hyperlink"/>
    <w:basedOn w:val="DefaultParagraphFont"/>
    <w:uiPriority w:val="99"/>
    <w:semiHidden/>
    <w:unhideWhenUsed/>
    <w:qFormat/>
    <w:rsid w:val="00B3207A"/>
    <w:rPr>
      <w:color w:val="0000FF"/>
      <w:spacing w:val="0"/>
      <w:w w:val="100"/>
      <w:szCs w:val="21"/>
      <w:u w:val="single"/>
      <w:lang w:val="en-US" w:eastAsia="zh-CN"/>
    </w:rPr>
  </w:style>
  <w:style w:type="paragraph" w:styleId="NormalWeb">
    <w:name w:val="Normal (Web)"/>
    <w:basedOn w:val="Normal"/>
    <w:uiPriority w:val="99"/>
    <w:semiHidden/>
    <w:unhideWhenUsed/>
    <w:qFormat/>
    <w:rsid w:val="00B3207A"/>
    <w:pPr>
      <w:spacing w:after="100" w:afterAutospacing="1" w:line="256" w:lineRule="auto"/>
    </w:pPr>
    <w:rPr>
      <w:rFonts w:eastAsia="Calibri"/>
      <w:szCs w:val="21"/>
      <w:lang w:val="en-GB" w:eastAsia="en-GB"/>
    </w:rPr>
  </w:style>
  <w:style w:type="table" w:styleId="TableGrid">
    <w:name w:val="Table Grid"/>
    <w:basedOn w:val="TableNormal"/>
    <w:qFormat/>
    <w:rsid w:val="00B3207A"/>
    <w:rPr>
      <w:rFonts w:eastAsia="Malgun Gothic"/>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187BF8"/>
  </w:style>
  <w:style w:type="character" w:customStyle="1" w:styleId="CRCoverPageChar">
    <w:name w:val="CR Cover Page Char"/>
    <w:link w:val="CRCoverPage"/>
    <w:qFormat/>
    <w:rsid w:val="003F67D3"/>
    <w:rPr>
      <w:rFonts w:eastAsia="Times New Roman" w:cs="Times New Roman"/>
      <w:sz w:val="20"/>
      <w:szCs w:val="20"/>
      <w:lang w:val="en-GB"/>
    </w:rPr>
  </w:style>
  <w:style w:type="paragraph" w:customStyle="1" w:styleId="TAH">
    <w:name w:val="TAH"/>
    <w:basedOn w:val="TAC"/>
    <w:link w:val="TAHCar"/>
    <w:qFormat/>
    <w:rsid w:val="007B60D4"/>
    <w:rPr>
      <w:b/>
    </w:rPr>
  </w:style>
  <w:style w:type="paragraph" w:customStyle="1" w:styleId="TAC">
    <w:name w:val="TAC"/>
    <w:basedOn w:val="Normal"/>
    <w:link w:val="TACChar"/>
    <w:qFormat/>
    <w:rsid w:val="007B60D4"/>
    <w:pPr>
      <w:keepNext/>
      <w:keepLines/>
      <w:overflowPunct/>
      <w:autoSpaceDE/>
      <w:autoSpaceDN/>
      <w:adjustRightInd/>
      <w:spacing w:before="0" w:beforeAutospacing="0" w:after="0"/>
      <w:jc w:val="center"/>
    </w:pPr>
    <w:rPr>
      <w:rFonts w:ascii="Arial" w:hAnsi="Arial"/>
      <w:sz w:val="18"/>
      <w:szCs w:val="20"/>
      <w:lang w:val="x-none" w:eastAsia="en-US"/>
    </w:rPr>
  </w:style>
  <w:style w:type="paragraph" w:customStyle="1" w:styleId="TH">
    <w:name w:val="TH"/>
    <w:basedOn w:val="Normal"/>
    <w:link w:val="THChar"/>
    <w:qFormat/>
    <w:rsid w:val="007B60D4"/>
    <w:pPr>
      <w:keepNext/>
      <w:keepLines/>
      <w:overflowPunct/>
      <w:autoSpaceDE/>
      <w:autoSpaceDN/>
      <w:adjustRightInd/>
      <w:spacing w:before="60" w:beforeAutospacing="0"/>
      <w:jc w:val="center"/>
    </w:pPr>
    <w:rPr>
      <w:rFonts w:ascii="Arial" w:hAnsi="Arial"/>
      <w:b/>
      <w:sz w:val="20"/>
      <w:szCs w:val="20"/>
      <w:lang w:val="x-none" w:eastAsia="en-US"/>
    </w:rPr>
  </w:style>
  <w:style w:type="character" w:customStyle="1" w:styleId="THChar">
    <w:name w:val="TH Char"/>
    <w:link w:val="TH"/>
    <w:qFormat/>
    <w:rsid w:val="007B60D4"/>
    <w:rPr>
      <w:rFonts w:eastAsia="SimSun" w:cs="Times New Roman"/>
      <w:b/>
      <w:sz w:val="20"/>
      <w:szCs w:val="20"/>
      <w:lang w:val="x-none"/>
    </w:rPr>
  </w:style>
  <w:style w:type="character" w:customStyle="1" w:styleId="TAHCar">
    <w:name w:val="TAH Car"/>
    <w:link w:val="TAH"/>
    <w:qFormat/>
    <w:rsid w:val="007B60D4"/>
    <w:rPr>
      <w:rFonts w:eastAsia="SimSun" w:cs="Times New Roman"/>
      <w:b/>
      <w:sz w:val="18"/>
      <w:szCs w:val="20"/>
      <w:lang w:val="x-none"/>
    </w:rPr>
  </w:style>
  <w:style w:type="character" w:customStyle="1" w:styleId="TACChar">
    <w:name w:val="TAC Char"/>
    <w:link w:val="TAC"/>
    <w:qFormat/>
    <w:rsid w:val="007B60D4"/>
    <w:rPr>
      <w:rFonts w:eastAsia="SimSun" w:cs="Times New Roman"/>
      <w:sz w:val="18"/>
      <w:szCs w:val="20"/>
      <w:lang w:val="x-none"/>
    </w:rPr>
  </w:style>
  <w:style w:type="table" w:customStyle="1" w:styleId="aff3">
    <w:basedOn w:val="TableNormal"/>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72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about:blan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chpnoOiTdi705fcM+HwH+ue8Tg==">CgMxLjAyCWguMWZvYjl0ZTIJaC4zem55c2g3MghoLmdqZGd4czIJaC40ZDM0b2c4MgloLjJldDkycDAyCGgudHlqY3d0OAByITFnb2QtTGpiaFN6SGRTNGZFWnZBQ1pjbVlPMEpxUkl3NA==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2</cp:revision>
  <dcterms:created xsi:type="dcterms:W3CDTF">2024-03-08T19:45:00Z</dcterms:created>
  <dcterms:modified xsi:type="dcterms:W3CDTF">2024-03-08T19:45:00Z</dcterms:modified>
</cp:coreProperties>
</file>